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2AD432" w14:textId="77777777" w:rsidR="004D4BCE" w:rsidRDefault="004D4BCE" w:rsidP="004D4BCE">
      <w:pPr>
        <w:pStyle w:val="a3"/>
        <w:shd w:val="clear" w:color="auto" w:fill="FFFFFF"/>
        <w:spacing w:before="0" w:beforeAutospacing="0" w:after="150" w:afterAutospacing="0" w:line="450" w:lineRule="atLeast"/>
        <w:jc w:val="center"/>
        <w:rPr>
          <w:rFonts w:ascii="微软雅黑" w:eastAsia="微软雅黑" w:hAnsi="微软雅黑"/>
          <w:color w:val="444444"/>
        </w:rPr>
      </w:pPr>
      <w:r>
        <w:rPr>
          <w:rStyle w:val="a4"/>
          <w:rFonts w:ascii="微软雅黑" w:eastAsia="微软雅黑" w:hAnsi="微软雅黑" w:hint="eastAsia"/>
          <w:color w:val="444444"/>
        </w:rPr>
        <w:t>交通运输大规模设备更新行动方案</w:t>
      </w:r>
    </w:p>
    <w:p w14:paraId="781B42AD"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推动交通运输大规模设备更新是加快建设交通强国、推动交通运输行业高质量发展、服务构建新发展格局的重要举措，有利于促进投资和消费。为深入贯彻党中央、国务院决策部署，落实《推动大规模设备更新和消费品以旧换新行动方案</w:t>
      </w:r>
      <w:proofErr w:type="gramStart"/>
      <w:r>
        <w:rPr>
          <w:rFonts w:ascii="微软雅黑" w:eastAsia="微软雅黑" w:hAnsi="微软雅黑" w:hint="eastAsia"/>
          <w:color w:val="444444"/>
        </w:rPr>
        <w:t>》</w:t>
      </w:r>
      <w:proofErr w:type="gramEnd"/>
      <w:r>
        <w:rPr>
          <w:rFonts w:ascii="微软雅黑" w:eastAsia="微软雅黑" w:hAnsi="微软雅黑" w:hint="eastAsia"/>
          <w:color w:val="444444"/>
        </w:rPr>
        <w:t>要求，推动新一轮交通运输设备更新换代，支撑构建绿色低碳交通运输体系，制定本行动方案。</w:t>
      </w:r>
    </w:p>
    <w:p w14:paraId="48D9CFBF"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一、总体要求</w:t>
      </w:r>
    </w:p>
    <w:p w14:paraId="6703B79D"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以习近平新时代中国特色社会主义思想为指导，认真落实中央经济工作会议和中央财经委员会第四次会议部署，完整、准确、全面贯彻新发展理念，统筹扩大内需和深化供给侧结构性改革，坚持统筹联动、市场为主，立足各地交通运输发展实际和能源资源禀赋，</w:t>
      </w:r>
      <w:r w:rsidRPr="000C3E88">
        <w:rPr>
          <w:rFonts w:ascii="微软雅黑" w:eastAsia="微软雅黑" w:hAnsi="微软雅黑" w:hint="eastAsia"/>
          <w:color w:val="444444"/>
          <w:highlight w:val="yellow"/>
        </w:rPr>
        <w:t>实施城市公交车电动化替代、老旧营运柴油货车淘汰更新、老旧营运船舶报废更新</w:t>
      </w:r>
      <w:r>
        <w:rPr>
          <w:rFonts w:ascii="微软雅黑" w:eastAsia="微软雅黑" w:hAnsi="微软雅黑" w:hint="eastAsia"/>
          <w:color w:val="444444"/>
        </w:rPr>
        <w:t>、老旧机车淘汰更新、邮政快递老旧设备替代、物流设施设备更新改造、标准提升七大行动，大力促进先进设备和北斗终端应用，</w:t>
      </w:r>
      <w:r w:rsidRPr="000C3E88">
        <w:rPr>
          <w:rFonts w:ascii="微软雅黑" w:eastAsia="微软雅黑" w:hAnsi="微软雅黑" w:hint="eastAsia"/>
          <w:color w:val="444444"/>
          <w:highlight w:val="yellow"/>
        </w:rPr>
        <w:t>促进交通能源动力系统清洁化、低碳化、高效化发展，有序推进行业绿色低碳转型。</w:t>
      </w:r>
    </w:p>
    <w:p w14:paraId="14A7EB16"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到2028年，船舶运力结构得到有效改善；新能源公交车辆推广应用持续推进；重点区域老旧机车基本淘汰，实现新能源机车规模化替代应用；邮件快件智能安检设备广泛推广使用，寄递领域安检能力大幅提升；北斗终端应用进一步提升；交通运输行业碳排放强度和污染物排放强度不断降低，污染物排放总量进一步下降。</w:t>
      </w:r>
    </w:p>
    <w:p w14:paraId="08F277CC"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二、城市公交车电动化替代行动</w:t>
      </w:r>
    </w:p>
    <w:p w14:paraId="58EA878D"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lastRenderedPageBreak/>
        <w:t>鼓励老旧新能源公交车及动力电池更新。鼓励有条件的地方在保障城市</w:t>
      </w:r>
      <w:proofErr w:type="gramStart"/>
      <w:r>
        <w:rPr>
          <w:rFonts w:ascii="微软雅黑" w:eastAsia="微软雅黑" w:hAnsi="微软雅黑" w:hint="eastAsia"/>
          <w:color w:val="444444"/>
        </w:rPr>
        <w:t>公交稳定</w:t>
      </w:r>
      <w:proofErr w:type="gramEnd"/>
      <w:r>
        <w:rPr>
          <w:rFonts w:ascii="微软雅黑" w:eastAsia="微软雅黑" w:hAnsi="微软雅黑" w:hint="eastAsia"/>
          <w:color w:val="444444"/>
        </w:rPr>
        <w:t>运营的基础上，因地制宜制定新能源公交车及动力电池更新计划，引导退役动力电池所有方将退役动力电池交售至综合利用企业，积极推广小型化公交车辆、低地板及低入口城市公交车辆。</w:t>
      </w:r>
      <w:r w:rsidRPr="00381610">
        <w:rPr>
          <w:rFonts w:ascii="微软雅黑" w:eastAsia="微软雅黑" w:hAnsi="微软雅黑" w:hint="eastAsia"/>
          <w:color w:val="444444"/>
          <w:highlight w:val="yellow"/>
        </w:rPr>
        <w:t>鼓励各地推动10年及以上老旧城市公交车辆更新</w:t>
      </w:r>
      <w:r>
        <w:rPr>
          <w:rFonts w:ascii="微软雅黑" w:eastAsia="微软雅黑" w:hAnsi="微软雅黑" w:hint="eastAsia"/>
          <w:color w:val="444444"/>
        </w:rPr>
        <w:t>。研究制定新能源公交车辆动力电池更换有关政策。</w:t>
      </w:r>
    </w:p>
    <w:p w14:paraId="385F2023"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三、老旧营运柴油货车淘汰更新行动</w:t>
      </w:r>
    </w:p>
    <w:p w14:paraId="3460B87B"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（一）</w:t>
      </w:r>
      <w:r w:rsidRPr="00510656">
        <w:rPr>
          <w:rFonts w:ascii="微软雅黑" w:eastAsia="微软雅黑" w:hAnsi="微软雅黑" w:hint="eastAsia"/>
          <w:color w:val="444444"/>
          <w:highlight w:val="yellow"/>
        </w:rPr>
        <w:t>加快淘汰更新老旧营运柴油货车。</w:t>
      </w:r>
      <w:r>
        <w:rPr>
          <w:rFonts w:ascii="微软雅黑" w:eastAsia="微软雅黑" w:hAnsi="微软雅黑" w:hint="eastAsia"/>
          <w:color w:val="444444"/>
        </w:rPr>
        <w:t>支持老旧营运货车淘汰更新工作。鼓励引导道路货运经营者加快淘汰</w:t>
      </w:r>
      <w:proofErr w:type="gramStart"/>
      <w:r>
        <w:rPr>
          <w:rFonts w:ascii="微软雅黑" w:eastAsia="微软雅黑" w:hAnsi="微软雅黑" w:hint="eastAsia"/>
          <w:color w:val="444444"/>
        </w:rPr>
        <w:t>更新国</w:t>
      </w:r>
      <w:proofErr w:type="gramEnd"/>
      <w:r>
        <w:rPr>
          <w:rFonts w:ascii="微软雅黑" w:eastAsia="微软雅黑" w:hAnsi="微软雅黑" w:hint="eastAsia"/>
          <w:color w:val="444444"/>
        </w:rPr>
        <w:t>三及以下标准营运类柴油货车，提前淘汰</w:t>
      </w:r>
      <w:proofErr w:type="gramStart"/>
      <w:r>
        <w:rPr>
          <w:rFonts w:ascii="微软雅黑" w:eastAsia="微软雅黑" w:hAnsi="微软雅黑" w:hint="eastAsia"/>
          <w:color w:val="444444"/>
        </w:rPr>
        <w:t>更新国四标准</w:t>
      </w:r>
      <w:proofErr w:type="gramEnd"/>
      <w:r>
        <w:rPr>
          <w:rFonts w:ascii="微软雅黑" w:eastAsia="微软雅黑" w:hAnsi="微软雅黑" w:hint="eastAsia"/>
          <w:color w:val="444444"/>
        </w:rPr>
        <w:t>营运类柴油货车。依托道路运输车辆达标车型管理工作，对</w:t>
      </w:r>
      <w:proofErr w:type="gramStart"/>
      <w:r>
        <w:rPr>
          <w:rFonts w:ascii="微软雅黑" w:eastAsia="微软雅黑" w:hAnsi="微软雅黑" w:hint="eastAsia"/>
          <w:color w:val="444444"/>
        </w:rPr>
        <w:t>标国际</w:t>
      </w:r>
      <w:proofErr w:type="gramEnd"/>
      <w:r>
        <w:rPr>
          <w:rFonts w:ascii="微软雅黑" w:eastAsia="微软雅黑" w:hAnsi="微软雅黑" w:hint="eastAsia"/>
          <w:color w:val="444444"/>
        </w:rPr>
        <w:t>先进水平，持续提升营运货车节能低碳水平。</w:t>
      </w:r>
    </w:p>
    <w:p w14:paraId="7D921162"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（二）</w:t>
      </w:r>
      <w:r w:rsidRPr="00510656">
        <w:rPr>
          <w:rFonts w:ascii="微软雅黑" w:eastAsia="微软雅黑" w:hAnsi="微软雅黑" w:hint="eastAsia"/>
          <w:color w:val="444444"/>
          <w:highlight w:val="yellow"/>
        </w:rPr>
        <w:t>有序推广新能源营运货车。</w:t>
      </w:r>
      <w:r>
        <w:rPr>
          <w:rFonts w:ascii="微软雅黑" w:eastAsia="微软雅黑" w:hAnsi="微软雅黑" w:hint="eastAsia"/>
          <w:color w:val="444444"/>
        </w:rPr>
        <w:t>鼓励各地结合道路货运行业发展特点、区域产业环境和新能源供应能力，推动新能源营运货车在城市物流配送、港口集疏运、干线物流等场景应用。鼓励有条件的地方，因地制宜研究出台新能源营运货车的</w:t>
      </w:r>
      <w:proofErr w:type="gramStart"/>
      <w:r>
        <w:rPr>
          <w:rFonts w:ascii="微软雅黑" w:eastAsia="微软雅黑" w:hAnsi="微软雅黑" w:hint="eastAsia"/>
          <w:color w:val="444444"/>
        </w:rPr>
        <w:t>通行路</w:t>
      </w:r>
      <w:proofErr w:type="gramEnd"/>
      <w:r>
        <w:rPr>
          <w:rFonts w:ascii="微软雅黑" w:eastAsia="微软雅黑" w:hAnsi="微软雅黑" w:hint="eastAsia"/>
          <w:color w:val="444444"/>
        </w:rPr>
        <w:t>权、配套基础设施建设等政策，积极</w:t>
      </w:r>
      <w:proofErr w:type="gramStart"/>
      <w:r>
        <w:rPr>
          <w:rFonts w:ascii="微软雅黑" w:eastAsia="微软雅黑" w:hAnsi="微软雅黑" w:hint="eastAsia"/>
          <w:color w:val="444444"/>
        </w:rPr>
        <w:t>探索车</w:t>
      </w:r>
      <w:proofErr w:type="gramEnd"/>
      <w:r>
        <w:rPr>
          <w:rFonts w:ascii="微软雅黑" w:eastAsia="微软雅黑" w:hAnsi="微软雅黑" w:hint="eastAsia"/>
          <w:color w:val="444444"/>
        </w:rPr>
        <w:t>电分离等商业模式。科学布局、适度超前建设公路沿线新能源车辆配套基础设施，</w:t>
      </w:r>
      <w:r w:rsidRPr="00510656">
        <w:rPr>
          <w:rFonts w:ascii="微软雅黑" w:eastAsia="微软雅黑" w:hAnsi="微软雅黑" w:hint="eastAsia"/>
          <w:color w:val="444444"/>
          <w:highlight w:val="yellow"/>
        </w:rPr>
        <w:t>探索超充站、换电站、加氢站等建设。</w:t>
      </w:r>
    </w:p>
    <w:p w14:paraId="67B1E079"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四、老旧营运船舶报废更新行动</w:t>
      </w:r>
    </w:p>
    <w:p w14:paraId="2DFD762C"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（一）加快高能耗高排放老旧运输船舶报废更新。</w:t>
      </w:r>
      <w:r w:rsidRPr="00510656">
        <w:rPr>
          <w:rFonts w:ascii="微软雅黑" w:eastAsia="微软雅黑" w:hAnsi="微软雅黑" w:hint="eastAsia"/>
          <w:color w:val="444444"/>
          <w:highlight w:val="yellow"/>
        </w:rPr>
        <w:t>支持内河客船10年、货船15年以及沿海客船15年、货船20年船龄以上老旧船舶加快报废更新</w:t>
      </w:r>
      <w:r>
        <w:rPr>
          <w:rFonts w:ascii="微软雅黑" w:eastAsia="微软雅黑" w:hAnsi="微软雅黑" w:hint="eastAsia"/>
          <w:color w:val="444444"/>
        </w:rPr>
        <w:t>。加强船舶燃油质量监管，健全船舶大气污染物监视监测体系，实施船舶大气污</w:t>
      </w:r>
      <w:r>
        <w:rPr>
          <w:rFonts w:ascii="微软雅黑" w:eastAsia="微软雅黑" w:hAnsi="微软雅黑" w:hint="eastAsia"/>
          <w:color w:val="444444"/>
        </w:rPr>
        <w:lastRenderedPageBreak/>
        <w:t>染物排放控制区监测监管示范工程。鼓励有条件地区建立现有燃油动力船舶退出机制。</w:t>
      </w:r>
    </w:p>
    <w:p w14:paraId="6FAB4542"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（二）</w:t>
      </w:r>
      <w:r w:rsidRPr="00E82DA3">
        <w:rPr>
          <w:rFonts w:ascii="微软雅黑" w:eastAsia="微软雅黑" w:hAnsi="微软雅黑" w:hint="eastAsia"/>
          <w:color w:val="444444"/>
          <w:highlight w:val="yellow"/>
        </w:rPr>
        <w:t>大力支持新能源清洁能源动力运输船舶发展。加快液化天然气（LNG）、醇、氢、氨等燃料动力船型研发，强化高性能LNG、大功率</w:t>
      </w:r>
      <w:proofErr w:type="gramStart"/>
      <w:r w:rsidRPr="00E82DA3">
        <w:rPr>
          <w:rFonts w:ascii="微软雅黑" w:eastAsia="微软雅黑" w:hAnsi="微软雅黑" w:hint="eastAsia"/>
          <w:color w:val="444444"/>
          <w:highlight w:val="yellow"/>
        </w:rPr>
        <w:t>醇</w:t>
      </w:r>
      <w:proofErr w:type="gramEnd"/>
      <w:r w:rsidRPr="00E82DA3">
        <w:rPr>
          <w:rFonts w:ascii="微软雅黑" w:eastAsia="微软雅黑" w:hAnsi="微软雅黑" w:hint="eastAsia"/>
          <w:color w:val="444444"/>
          <w:highlight w:val="yellow"/>
        </w:rPr>
        <w:t>燃料发动机、高能量密度高安全性能动力电池等关键共性、前沿引领核心技术攻关，提升新能源船舶装备供给能力。支持新建新能源、清洁能源动力船舶，支持绿醇、绿氨等燃料动力国际航行船舶发展，推动LNG、生物柴油动力船舶在具备条件的沿海、内河航线应用，支持纯电池动力在中小型、短距离内河船舶试点应用，支持船舶探索开展箱式电源等可移动设备换装模式试点应用，逐步扩大绿电、</w:t>
      </w:r>
      <w:proofErr w:type="spellStart"/>
      <w:r w:rsidRPr="00E82DA3">
        <w:rPr>
          <w:rFonts w:ascii="微软雅黑" w:eastAsia="微软雅黑" w:hAnsi="微软雅黑" w:hint="eastAsia"/>
          <w:color w:val="444444"/>
          <w:highlight w:val="yellow"/>
        </w:rPr>
        <w:t>LNG</w:t>
      </w:r>
      <w:proofErr w:type="spellEnd"/>
      <w:r w:rsidRPr="00E82DA3">
        <w:rPr>
          <w:rFonts w:ascii="微软雅黑" w:eastAsia="微软雅黑" w:hAnsi="微软雅黑" w:hint="eastAsia"/>
          <w:color w:val="444444"/>
          <w:highlight w:val="yellow"/>
        </w:rPr>
        <w:t>、生物柴油、绿醇等能源在船舶领域的应用。完善客运船舶重大改建政策，实施新能源船舶</w:t>
      </w:r>
      <w:proofErr w:type="gramStart"/>
      <w:r w:rsidRPr="00E82DA3">
        <w:rPr>
          <w:rFonts w:ascii="微软雅黑" w:eastAsia="微软雅黑" w:hAnsi="微软雅黑" w:hint="eastAsia"/>
          <w:color w:val="444444"/>
          <w:highlight w:val="yellow"/>
        </w:rPr>
        <w:t>优先靠</w:t>
      </w:r>
      <w:proofErr w:type="gramEnd"/>
      <w:r w:rsidRPr="00E82DA3">
        <w:rPr>
          <w:rFonts w:ascii="微软雅黑" w:eastAsia="微软雅黑" w:hAnsi="微软雅黑" w:hint="eastAsia"/>
          <w:color w:val="444444"/>
          <w:highlight w:val="yellow"/>
        </w:rPr>
        <w:t>离泊等激励措施，保障电力、LNG、生物柴油、绿醇等能源供应能力。鼓励探索建立区域性船舶全面新能源化先行示范区。</w:t>
      </w:r>
    </w:p>
    <w:p w14:paraId="188CD590"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（三）</w:t>
      </w:r>
      <w:r w:rsidRPr="00E82DA3">
        <w:rPr>
          <w:rFonts w:ascii="微软雅黑" w:eastAsia="微软雅黑" w:hAnsi="微软雅黑" w:hint="eastAsia"/>
          <w:color w:val="444444"/>
          <w:highlight w:val="yellow"/>
        </w:rPr>
        <w:t>完善新能源清洁能源动力运输船舶配套基础设施。加强岸线资源集约高效利用，支持LNG、生物柴油、绿醇等加注及充（换）电供应服务保障能力建设，支持有条件的加油（气）网点、水上服务区更新提升配套设施综合服务水平，探索建设绿色航运综合服务区，加快构建便捷完善的配套基础设施网络。加强新能源加注作业及动力系统、储运与加注系统等关键船舶配套系统设备的风险评估。</w:t>
      </w:r>
    </w:p>
    <w:p w14:paraId="6DE9AE08"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五、老旧机车淘汰更新行动</w:t>
      </w:r>
    </w:p>
    <w:p w14:paraId="38C65601"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lastRenderedPageBreak/>
        <w:t>（一）加快老旧机车淘汰。支持老旧机车淘汰报废。推动出台《铁路内燃机车大气污染防治管理办法》等部门规章，建立基于机车运用年限、污染排放、安全性能的强制报废管理制度，明确老旧铁路内燃机车报废运用年限为30年，建设机车排气污染物排放检验体系，加强机车运用状态、排气污染物的动态跟踪管理。</w:t>
      </w:r>
    </w:p>
    <w:p w14:paraId="2BDE29D3"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二）鼓励新能源机车更新。组织有关企业针对不同地域、不同场景打造谱系化、平台化中国标准新能源铁路装备平台，实现机车排放、油耗、舒适性等指标均达到国际先进水平。依托复兴型等系列机车产品研发，采用大功率动力电池、新一代柴油机、内</w:t>
      </w:r>
      <w:proofErr w:type="gramStart"/>
      <w:r>
        <w:rPr>
          <w:rFonts w:ascii="微软雅黑" w:eastAsia="微软雅黑" w:hAnsi="微软雅黑" w:hint="eastAsia"/>
          <w:color w:val="444444"/>
        </w:rPr>
        <w:t>电双源</w:t>
      </w:r>
      <w:proofErr w:type="gramEnd"/>
      <w:r>
        <w:rPr>
          <w:rFonts w:ascii="微软雅黑" w:eastAsia="微软雅黑" w:hAnsi="微软雅黑" w:hint="eastAsia"/>
          <w:color w:val="444444"/>
        </w:rPr>
        <w:t>、氢动力系统、低碳/</w:t>
      </w:r>
      <w:proofErr w:type="gramStart"/>
      <w:r>
        <w:rPr>
          <w:rFonts w:ascii="微软雅黑" w:eastAsia="微软雅黑" w:hAnsi="微软雅黑" w:hint="eastAsia"/>
          <w:color w:val="444444"/>
        </w:rPr>
        <w:t>零碳燃料</w:t>
      </w:r>
      <w:proofErr w:type="gramEnd"/>
      <w:r>
        <w:rPr>
          <w:rFonts w:ascii="微软雅黑" w:eastAsia="微软雅黑" w:hAnsi="微软雅黑" w:hint="eastAsia"/>
          <w:color w:val="444444"/>
        </w:rPr>
        <w:t>发动机等技术，推动老旧内燃机车更新升级。采用混合动力及新能源动力等技术，实现调车机车替代应用；装用新一代低排放低油耗中高速柴油机，实现干线货运机车替代应用；采用柴油机+动力电池集成应用，实现干线客运机车替代</w:t>
      </w:r>
      <w:proofErr w:type="gramStart"/>
      <w:r>
        <w:rPr>
          <w:rFonts w:ascii="微软雅黑" w:eastAsia="微软雅黑" w:hAnsi="微软雅黑" w:hint="eastAsia"/>
          <w:color w:val="444444"/>
        </w:rPr>
        <w:t>及动集</w:t>
      </w:r>
      <w:proofErr w:type="gramEnd"/>
      <w:r>
        <w:rPr>
          <w:rFonts w:ascii="微软雅黑" w:eastAsia="微软雅黑" w:hAnsi="微软雅黑" w:hint="eastAsia"/>
          <w:color w:val="444444"/>
        </w:rPr>
        <w:t>系列化；采用高效交流传动技术，实现机车产品技术迭代升级。</w:t>
      </w:r>
    </w:p>
    <w:p w14:paraId="04F745BE"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六、邮政快递老旧设备替代行动</w:t>
      </w:r>
    </w:p>
    <w:p w14:paraId="1D3B4572"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一）支持老旧安检设备更新。推动邮政快递企业淘汰更新老旧微剂量X射线安全检查设备，配置使用邮件快件智能X射线安全检查设备。推动出台《邮件快件安全检查管理办法》等部门规章，修订《邮件快件智能X射线安全检查设备技术要求》。指导邮政快递企业因地制宜制定智能安全检查设备更新计划。深入推进邮政业智能安检系统研发，不断提升智能安检设备工艺技术。鼓励邮政快递企业加强安检信息化建设，强化互联网、大数据、云计算、人工</w:t>
      </w:r>
      <w:r>
        <w:rPr>
          <w:rFonts w:ascii="微软雅黑" w:eastAsia="微软雅黑" w:hAnsi="微软雅黑" w:hint="eastAsia"/>
          <w:color w:val="444444"/>
        </w:rPr>
        <w:lastRenderedPageBreak/>
        <w:t>智能、区块链等现代信息技术在安检领域的应用，推动安检工作向信息化、智能化管理迈进。</w:t>
      </w:r>
    </w:p>
    <w:p w14:paraId="05E3DB78"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二）开展邮政快递末端配送车辆更新。结合城市公共领域车辆全面电动化先行区试点，指导各地因地制宜，制定新能源车辆更新计划，分阶段、分层次推进，支持邮政快递企业淘汰更新一批运输和末端配送车辆。鼓励企业在符合要求地区大规模使用新能源无人配送车，提升邮件快件中转效率。</w:t>
      </w:r>
    </w:p>
    <w:p w14:paraId="11672ECA"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三）支持老旧分拣设备更新。鼓励邮政快递企业在主要邮件快件处理场所，淘汰老旧分拣设备，配置使用全自动智能分拣成套设备。指导企业根据实际需求制定分拣设备更新计划，落实处理场所用地等基础条件，鼓励地方为分拣设备更新提供政策支持。加强绿色低碳和智能化创新技术研发应用，推进智能分拣成套设备迭代，提升分拣效率，推进设备智能化低碳化升级。</w:t>
      </w:r>
    </w:p>
    <w:p w14:paraId="3E7AA498"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七、物流设施设备更新改造行动</w:t>
      </w:r>
    </w:p>
    <w:p w14:paraId="02093151"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鼓励国家物流枢纽、国家骨干冷链物流基地、国家级示范物流园区、城郊大仓基地范围内的多式联运场站和转运设施设备升级改造。加快推进智慧物流枢纽、物流园区智能化改造。支持高标准仓库、边境口岸铁路换装设施设备及应用自动分拣系统、堆垛机、电动叉车等设施设备的智慧立体仓储设施升级改造。积极推广升级标准化托盘、周转箱等物流装载器具循环共用系统。支持冷藏车等运输设备、制冷系统</w:t>
      </w:r>
      <w:proofErr w:type="gramStart"/>
      <w:r>
        <w:rPr>
          <w:rFonts w:ascii="微软雅黑" w:eastAsia="微软雅黑" w:hAnsi="微软雅黑" w:hint="eastAsia"/>
          <w:color w:val="444444"/>
        </w:rPr>
        <w:t>等冷链设施</w:t>
      </w:r>
      <w:proofErr w:type="gramEnd"/>
      <w:r>
        <w:rPr>
          <w:rFonts w:ascii="微软雅黑" w:eastAsia="微软雅黑" w:hAnsi="微软雅黑" w:hint="eastAsia"/>
          <w:color w:val="444444"/>
        </w:rPr>
        <w:t>设备智能化绿色化升级改造。</w:t>
      </w:r>
    </w:p>
    <w:p w14:paraId="35B59897"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八、标准提升行动</w:t>
      </w:r>
    </w:p>
    <w:p w14:paraId="12AB9A20"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（一）强化营运车船能耗、排放、技术标准升级。对</w:t>
      </w:r>
      <w:proofErr w:type="gramStart"/>
      <w:r>
        <w:rPr>
          <w:rFonts w:ascii="微软雅黑" w:eastAsia="微软雅黑" w:hAnsi="微软雅黑" w:hint="eastAsia"/>
          <w:color w:val="444444"/>
        </w:rPr>
        <w:t>标国际</w:t>
      </w:r>
      <w:proofErr w:type="gramEnd"/>
      <w:r>
        <w:rPr>
          <w:rFonts w:ascii="微软雅黑" w:eastAsia="微软雅黑" w:hAnsi="微软雅黑" w:hint="eastAsia"/>
          <w:color w:val="444444"/>
        </w:rPr>
        <w:t>先进水平，加快提升营运货车、营运船舶等载运工具安全绿色发展水平。加快商用车能源消</w:t>
      </w:r>
      <w:r>
        <w:rPr>
          <w:rFonts w:ascii="微软雅黑" w:eastAsia="微软雅黑" w:hAnsi="微软雅黑" w:hint="eastAsia"/>
          <w:color w:val="444444"/>
        </w:rPr>
        <w:lastRenderedPageBreak/>
        <w:t>耗量限值标准升级，加大新能源车安全、环保标准供给。</w:t>
      </w:r>
      <w:r w:rsidRPr="00AC75C6">
        <w:rPr>
          <w:rFonts w:ascii="微软雅黑" w:eastAsia="微软雅黑" w:hAnsi="微软雅黑" w:hint="eastAsia"/>
          <w:color w:val="444444"/>
          <w:highlight w:val="yellow"/>
        </w:rPr>
        <w:t>加快营运船舶燃料消耗量限值、碳排放强度等标准制修订，加快研究营运船舶</w:t>
      </w:r>
      <w:proofErr w:type="gramStart"/>
      <w:r w:rsidRPr="00AC75C6">
        <w:rPr>
          <w:rFonts w:ascii="微软雅黑" w:eastAsia="微软雅黑" w:hAnsi="微软雅黑" w:hint="eastAsia"/>
          <w:color w:val="444444"/>
          <w:highlight w:val="yellow"/>
        </w:rPr>
        <w:t>充换电</w:t>
      </w:r>
      <w:proofErr w:type="gramEnd"/>
      <w:r w:rsidRPr="00AC75C6">
        <w:rPr>
          <w:rFonts w:ascii="微软雅黑" w:eastAsia="微软雅黑" w:hAnsi="微软雅黑" w:hint="eastAsia"/>
          <w:color w:val="444444"/>
          <w:highlight w:val="yellow"/>
        </w:rPr>
        <w:t>设施及生物柴油、甲醇燃料加注作业标准</w:t>
      </w:r>
      <w:r>
        <w:rPr>
          <w:rFonts w:ascii="微软雅黑" w:eastAsia="微软雅黑" w:hAnsi="微软雅黑" w:hint="eastAsia"/>
          <w:color w:val="444444"/>
        </w:rPr>
        <w:t>。加快构建绿色智能船舶规范标准体系，建立健全新能源船舶及关键设备和质量技术标准，实施绿色智能船舶标准化引领工程。</w:t>
      </w:r>
    </w:p>
    <w:p w14:paraId="5C4469C2"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二）建立新能源机车及配套工程的标准体系。推动新能源机车及绿色低碳标准体系建设，充分吸收国内外的先进技术、先进经验，统筹推进国家标准、行业标准、团体标准的协调发展，实现标准体系对产品技术、质量安全、监测计量、评估认证、配套工程的全面覆盖。鼓励动力电池充电、氢燃料及替代燃料加注等配套工程建设，探索新能源机车运用、维护、检修及配套工程的一体化综合服务能力建设，构建完善的机车全寿命周期运用体系。</w:t>
      </w:r>
    </w:p>
    <w:p w14:paraId="479A10CA"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九、强化政策支持</w:t>
      </w:r>
    </w:p>
    <w:p w14:paraId="7C830300"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一）制定配套措施。研究制定老旧营运车船报废更新资金补贴实施细则，明确补贴范围、补贴标准、操作流程、监管要求和部门职责等。各地交通运输主管部门要制定配套操作细则，细化落实举措，规范开展工作。</w:t>
      </w:r>
    </w:p>
    <w:p w14:paraId="49170D3D"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二）加大财政资金支持。持续实施好老旧营运车船淘汰更新补贴，把符合条件的设备更新项目纳入中央资金等支持范围。鼓励有条件的地方统筹利用中央财政安排的城市交通发展奖励资金，支持新能源城市公交车及动力电池更新。加强公路养护机械装备及应急装备更新政策储备。</w:t>
      </w:r>
    </w:p>
    <w:p w14:paraId="1463A8EA"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（三）健全金融保险支持。加大金融支持力度，发挥科技创新和技术改造再贷款政策工具的激励作用，引导金融机构强化对交通运输技术改造和设备更</w:t>
      </w:r>
      <w:r>
        <w:rPr>
          <w:rFonts w:ascii="微软雅黑" w:eastAsia="微软雅黑" w:hAnsi="微软雅黑" w:hint="eastAsia"/>
          <w:color w:val="444444"/>
        </w:rPr>
        <w:lastRenderedPageBreak/>
        <w:t>新的支持。鼓励银行保险机构提供多样化金融服务，提高融资便利度和保险保障水平。</w:t>
      </w:r>
    </w:p>
    <w:p w14:paraId="4E53E4FC"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四）加强创新支撑。依托国家重点研发计划、首台（套）重大技术装备示范等，聚焦交通运输重大技术装备“卡脖子”难题，开展新型清洁能源载运装备关键技术研发和推广应用，提升交通装备智能化绿色化水平。鼓励行业各类绿色交通创新主体建立创新联盟，建立绿色交通关键核心技术攻关机制。持续制定发布交通运输行业重点节能低碳技术目录，加快节能环保关键技术推广应用。</w:t>
      </w:r>
    </w:p>
    <w:p w14:paraId="0384786F"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十、保障措施</w:t>
      </w:r>
    </w:p>
    <w:p w14:paraId="0C0CE87C" w14:textId="77777777" w:rsidR="004D4BCE" w:rsidRDefault="004D4BCE" w:rsidP="004D4BCE">
      <w:pPr>
        <w:pStyle w:val="a3"/>
        <w:shd w:val="clear" w:color="auto" w:fill="FFFFFF"/>
        <w:spacing w:before="0" w:beforeAutospacing="0" w:after="150" w:afterAutospacing="0" w:line="450" w:lineRule="atLeast"/>
        <w:ind w:firstLine="480"/>
        <w:rPr>
          <w:rFonts w:ascii="微软雅黑" w:eastAsia="微软雅黑" w:hAnsi="微软雅黑" w:hint="eastAsia"/>
          <w:color w:val="444444"/>
        </w:rPr>
      </w:pPr>
      <w:r>
        <w:rPr>
          <w:rFonts w:ascii="微软雅黑" w:eastAsia="微软雅黑" w:hAnsi="微软雅黑" w:hint="eastAsia"/>
          <w:color w:val="444444"/>
        </w:rPr>
        <w:t>交通运输部、国家发展改革</w:t>
      </w:r>
      <w:proofErr w:type="gramStart"/>
      <w:r>
        <w:rPr>
          <w:rFonts w:ascii="微软雅黑" w:eastAsia="微软雅黑" w:hAnsi="微软雅黑" w:hint="eastAsia"/>
          <w:color w:val="444444"/>
        </w:rPr>
        <w:t>委加强</w:t>
      </w:r>
      <w:proofErr w:type="gramEnd"/>
      <w:r>
        <w:rPr>
          <w:rFonts w:ascii="微软雅黑" w:eastAsia="微软雅黑" w:hAnsi="微软雅黑" w:hint="eastAsia"/>
          <w:color w:val="444444"/>
        </w:rPr>
        <w:t>工作统筹，会同有关部门推进</w:t>
      </w:r>
      <w:proofErr w:type="gramStart"/>
      <w:r>
        <w:rPr>
          <w:rFonts w:ascii="微软雅黑" w:eastAsia="微软雅黑" w:hAnsi="微软雅黑" w:hint="eastAsia"/>
          <w:color w:val="444444"/>
        </w:rPr>
        <w:t>本行动</w:t>
      </w:r>
      <w:proofErr w:type="gramEnd"/>
      <w:r>
        <w:rPr>
          <w:rFonts w:ascii="微软雅黑" w:eastAsia="微软雅黑" w:hAnsi="微软雅黑" w:hint="eastAsia"/>
          <w:color w:val="444444"/>
        </w:rPr>
        <w:t>方案的实施。各地交通运输主管部门要会同有关部门制定落实工作方案，完善配套措施，切实推动交通运输设备绿色低碳转型落地见效。加强监督考核，将交通运输设备更新换代情况纳入交通运输行业碳排放评价体系和铁路、公路、水路行业绿色低碳发展评估体系。加强风险防范，严防地方保护、企业借机涨价、</w:t>
      </w:r>
      <w:proofErr w:type="gramStart"/>
      <w:r>
        <w:rPr>
          <w:rFonts w:ascii="微软雅黑" w:eastAsia="微软雅黑" w:hAnsi="微软雅黑" w:hint="eastAsia"/>
          <w:color w:val="444444"/>
        </w:rPr>
        <w:t>违规骗补等</w:t>
      </w:r>
      <w:proofErr w:type="gramEnd"/>
      <w:r>
        <w:rPr>
          <w:rFonts w:ascii="微软雅黑" w:eastAsia="微软雅黑" w:hAnsi="微软雅黑" w:hint="eastAsia"/>
          <w:color w:val="444444"/>
        </w:rPr>
        <w:t>行为。做好政策宣贯解读，深化企业和公众对于交通运输设备更新的认识，营造良好氛围。</w:t>
      </w:r>
    </w:p>
    <w:p w14:paraId="6EA4E062" w14:textId="77777777" w:rsidR="00A9308C" w:rsidRPr="004D4BCE" w:rsidRDefault="00A9308C"/>
    <w:sectPr w:rsidR="00A9308C" w:rsidRPr="004D4BC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5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BCE"/>
    <w:rsid w:val="000C3E88"/>
    <w:rsid w:val="002306A2"/>
    <w:rsid w:val="00381610"/>
    <w:rsid w:val="004D4BCE"/>
    <w:rsid w:val="00510656"/>
    <w:rsid w:val="00A9308C"/>
    <w:rsid w:val="00AC75C6"/>
    <w:rsid w:val="00E82DA3"/>
    <w:rsid w:val="00E837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D42998"/>
  <w15:chartTrackingRefBased/>
  <w15:docId w15:val="{95E95B07-6EB7-4AD6-B747-79D340B9A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D4BC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D4BC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29288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606</Words>
  <Characters>3457</Characters>
  <Application>Microsoft Office Word</Application>
  <DocSecurity>0</DocSecurity>
  <Lines>28</Lines>
  <Paragraphs>8</Paragraphs>
  <ScaleCrop>false</ScaleCrop>
  <Company/>
  <LinksUpToDate>false</LinksUpToDate>
  <CharactersWithSpaces>4055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dzj</dc:creator>
  <cp:keywords/>
  <dc:description/>
  <cp:lastModifiedBy>dzj</cp:lastModifiedBy>
  <cp:revision>3</cp:revision>
  <dcterms:created xsi:type="dcterms:W3CDTF">2024-06-07T06:21:00Z</dcterms:created>
  <dcterms:modified xsi:type="dcterms:W3CDTF">2024-06-07T06:28:00Z</dcterms:modified>
</cp:coreProperties>
</file>